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261BB">
          <w:t>Заявки на покупку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на 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на 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на оборудование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зам. гл. инженера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A6.1 Планирование закупок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BB" w:rsidRDefault="007261BB" w:rsidP="009E192E">
      <w:pPr>
        <w:spacing w:after="0"/>
      </w:pPr>
      <w:r>
        <w:separator/>
      </w:r>
    </w:p>
  </w:endnote>
  <w:endnote w:type="continuationSeparator" w:id="0">
    <w:p w:rsidR="007261BB" w:rsidRDefault="007261B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261BB" w:rsidRPr="007261BB">
              <w:rPr>
                <w:bCs/>
              </w:rPr>
              <w:t>Стрелка «Заявки</w:t>
            </w:r>
            <w:r w:rsidR="007261BB">
              <w:t xml:space="preserve"> на покупку»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61B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61B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BB" w:rsidRDefault="007261BB" w:rsidP="009E192E">
      <w:pPr>
        <w:spacing w:after="0"/>
      </w:pPr>
      <w:r>
        <w:separator/>
      </w:r>
    </w:p>
  </w:footnote>
  <w:footnote w:type="continuationSeparator" w:id="0">
    <w:p w:rsidR="007261BB" w:rsidRDefault="007261B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2186672-cd37-438d-a6e2-5f679f21efd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и на покупк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9722D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261BB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98BE12-ED16-45D4-8181-251C002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Заявки на покупку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