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7F4DDC">
        <w:fldChar w:fldCharType="separate"/>
      </w:r>
      <w:r w:rsidR="005A7730">
        <w:t>Должностное лицо, ответственное за подбор транспорта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7F4DDC">
        <w:fldChar w:fldCharType="separate"/>
      </w:r>
      <w:r w:rsidR="005A7730">
        <w:t>Ведущий инженер бюро транспортной логистики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7F4DDC">
        <w:fldChar w:fldCharType="separate"/>
      </w:r>
      <w:r w:rsidR="005A7730">
        <w:t>Бюро по транспортной логистике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7F4DDC">
        <w:fldChar w:fldCharType="separate"/>
      </w:r>
      <w:r w:rsidR="005A7730">
        <w:t>Алюминиевый профиль (ГП)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233CE5" w:rsidRDefault="005A7730">
      <w:pPr>
        <w:pStyle w:val="a0"/>
      </w:pPr>
      <w:r>
        <w:fldChar w:fldCharType="begin"/>
      </w:r>
      <w:r>
        <w:instrText>DOCVARIABLE Субъект_15b0d1db_2</w:instrText>
      </w:r>
      <w:r w:rsidR="007F4DDC">
        <w:fldChar w:fldCharType="separate"/>
      </w:r>
      <w:r>
        <w:t>Начальник отдела складского хозяйства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7F4DDC">
        <w:fldChar w:fldCharType="separate"/>
      </w:r>
      <w:r>
        <w:t>Отдел складского хозяйства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7F4DDC">
        <w:fldChar w:fldCharType="separate"/>
      </w:r>
      <w:r>
        <w:t>Автокомпоненты (ГП)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p w:rsidR="00B25A3A" w:rsidRPr="00DA00D7" w:rsidRDefault="00B25A3A" w:rsidP="00B25A3A">
      <w:pPr>
        <w:pStyle w:val="2"/>
      </w:pPr>
      <w:bookmarkStart w:id="9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A2.6.3 Формирование пакета документов на отгружаемую продукцию и организация доставки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A2.6.3.5 Обзвон транспортных компаний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A2.6.3.7 Выбор транспортной компании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0" w:name="Недекомпозированные_проц_502e71d8"/>
            <w:bookmarkEnd w:id="10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A2.6.3.10 Оформление заявки по факсу или электронной почте (штамп и печать)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30" w:rsidRDefault="005A7730">
      <w:r>
        <w:separator/>
      </w:r>
    </w:p>
  </w:endnote>
  <w:endnote w:type="continuationSeparator" w:id="0">
    <w:p w:rsidR="005A7730" w:rsidRDefault="005A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7F4DDC">
            <w:rPr>
              <w:sz w:val="18"/>
              <w:szCs w:val="18"/>
            </w:rPr>
            <w:fldChar w:fldCharType="separate"/>
          </w:r>
          <w:r w:rsidR="005A7730">
            <w:rPr>
              <w:noProof/>
              <w:sz w:val="18"/>
              <w:szCs w:val="18"/>
            </w:rPr>
            <w:t>Должностное лицо, ответственное за подбор транспорта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A773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5A773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30" w:rsidRDefault="005A7730">
      <w:r>
        <w:separator/>
      </w:r>
    </w:p>
  </w:footnote>
  <w:footnote w:type="continuationSeparator" w:id="0">
    <w:p w:rsidR="005A7730" w:rsidRDefault="005A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c3a75a6-cbde-49b8-b105-32ea799c9e46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Бюро по транспортной логистике"/>
    <w:docVar w:name="Вышестоящее_подразделени_0dd7a29a_2" w:val="Отдел складского хозяйства"/>
    <w:docVar w:name="Название_bc3472a0" w:val="Должностное лицо, ответственное за подбор транспорта"/>
    <w:docVar w:name="Предмет_деятельности_e40985d4_1" w:val="Алюминиевый профиль (ГП)"/>
    <w:docVar w:name="Предмет_деятельности_e40985d4_2" w:val="Автокомпоненты (ГП)"/>
    <w:docVar w:name="Субъект_15b0d1db_1" w:val="Ведущий инженер бюро транспортной логистики"/>
    <w:docVar w:name="Субъект_15b0d1db_2" w:val="Начальник отдела складского хозяй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33CE5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A7730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4DD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74B1A-0741-4C98-9F12-9DC1348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Должностное лицо, ответственное за подбор транспорта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2017-04-18T13:26:00Z</dcterms:created>
  <dcterms:modified xsi:type="dcterms:W3CDTF">2017-04-18T13:26:00Z</dcterms:modified>
</cp:coreProperties>
</file>