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42F23">
          <w:t>Технический (аварийный) акт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Объяснительная записка производственного персонала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Технический (аварийный) акт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 Воспроизводство ПТО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A7.1 Приобретение оборудования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23" w:rsidRDefault="00B42F23" w:rsidP="009E192E">
      <w:pPr>
        <w:spacing w:after="0"/>
      </w:pPr>
      <w:r>
        <w:separator/>
      </w:r>
    </w:p>
  </w:endnote>
  <w:endnote w:type="continuationSeparator" w:id="0">
    <w:p w:rsidR="00B42F23" w:rsidRDefault="00B42F2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42F23" w:rsidRPr="00B42F23">
              <w:rPr>
                <w:bCs/>
              </w:rPr>
              <w:t>Стрелка «Технический</w:t>
            </w:r>
            <w:r w:rsidR="00B42F23">
              <w:t xml:space="preserve"> (аварийный) акт»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42F2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42F2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23" w:rsidRDefault="00B42F23" w:rsidP="009E192E">
      <w:pPr>
        <w:spacing w:after="0"/>
      </w:pPr>
      <w:r>
        <w:separator/>
      </w:r>
    </w:p>
  </w:footnote>
  <w:footnote w:type="continuationSeparator" w:id="0">
    <w:p w:rsidR="00B42F23" w:rsidRDefault="00B42F2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fb88199-cce2-4388-a484-e3d31e235b2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Технический (аварийный) ак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E702A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42F23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9B9B4A-AC5F-430A-8DE9-C7FC7F83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240</Characters>
  <Application>Microsoft Office Word</Application>
  <DocSecurity>0</DocSecurity>
  <Lines>17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