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C763DF">
        <w:fldChar w:fldCharType="separate"/>
      </w:r>
      <w:r w:rsidR="009E7119">
        <w:t>A8.3.6 Расчет налоговых платежей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2488"/>
          <w:jc w:val="center"/>
        </w:trPr>
        <w:tc>
          <w:tcPr>
            <w:tcW w:w="5000" w:type="pct"/>
            <w:tcFitText/>
          </w:tcPr>
          <w:p w:rsidR="005B3F0E" w:rsidRPr="007857A6" w:rsidRDefault="009E7119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3.5pt;height:621.7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C763DF">
        <w:fldChar w:fldCharType="separate"/>
      </w:r>
      <w:r w:rsidR="009E7119">
        <w:t>Главный бухгалтер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C763DF">
        <w:fldChar w:fldCharType="separate"/>
      </w:r>
      <w:r w:rsidR="009E7119">
        <w:t>Бухгалтерия</w:t>
      </w:r>
      <w:r w:rsidRPr="007857A6">
        <w:fldChar w:fldCharType="end"/>
      </w:r>
      <w:r w:rsidRPr="007857A6">
        <w:t xml:space="preserve">) </w:t>
      </w:r>
      <w:bookmarkEnd w:id="7"/>
      <w:r w:rsidRPr="007857A6">
        <w:t xml:space="preserve"> </w:t>
      </w:r>
      <w:bookmarkEnd w:id="6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8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C763DF">
        <w:fldChar w:fldCharType="separate"/>
      </w:r>
      <w:r w:rsidR="009E7119">
        <w:t>Бухгалтерия</w:t>
      </w:r>
      <w:r w:rsidRPr="007857A6">
        <w:fldChar w:fldCharType="end"/>
      </w:r>
      <w:r w:rsidRPr="007857A6">
        <w:t xml:space="preserve"> </w:t>
      </w:r>
      <w:bookmarkStart w:id="9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C763DF">
        <w:fldChar w:fldCharType="separate"/>
      </w:r>
      <w:r w:rsidR="009E7119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9"/>
    </w:p>
    <w:p w:rsidR="00204A42" w:rsidRPr="007857A6" w:rsidRDefault="00E6397F" w:rsidP="00E6397F">
      <w:pPr>
        <w:pStyle w:val="affc"/>
        <w:rPr>
          <w:b/>
        </w:rPr>
      </w:pPr>
      <w:bookmarkStart w:id="10" w:name="Секция_Подразделение_2ebb4da4"/>
      <w:bookmarkStart w:id="11" w:name="С_Предмет_деятельности_9af359fa"/>
      <w:bookmarkStart w:id="12" w:name="Полный_список_субъектов__60b748f4"/>
      <w:bookmarkStart w:id="13" w:name="С_Начало_7667edd3"/>
      <w:bookmarkEnd w:id="8"/>
      <w:bookmarkEnd w:id="10"/>
      <w:bookmarkEnd w:id="11"/>
      <w:bookmarkEnd w:id="12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9E7119">
          <w:t>Поступление информации об обязательствах компании.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14" w:name="С_Требования_к_срокам_04840304"/>
      <w:bookmarkEnd w:id="13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9E7119">
          <w:t>Не регламентируются.</w:t>
        </w:r>
      </w:fldSimple>
    </w:p>
    <w:p w:rsidR="00E6397F" w:rsidRPr="007857A6" w:rsidRDefault="007B5F11" w:rsidP="007B5F11">
      <w:pPr>
        <w:pStyle w:val="4"/>
      </w:pPr>
      <w:bookmarkStart w:id="15" w:name="С_Входы_55d3845c"/>
      <w:bookmarkEnd w:id="14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Информация об обязательствах компании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Налоговая карточка на физ. лицо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A8.3.3 Расчет платежей по заработной плате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Главный 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 xml:space="preserve">A8.3.3 Расчет </w:t>
            </w:r>
            <w:r>
              <w:t>платежей по заработной плате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Налоговая карточка на физ. лицо</w:t>
            </w:r>
          </w:p>
          <w:p w:rsidR="00F1256C" w:rsidRDefault="009E7119">
            <w:pPr>
              <w:pStyle w:val="af4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A8.3.3 Расчет платежей по заработной плате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Реестр платежей во внебюджетные фонды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A8.3.4 Расчет платежей во внебюджетные фонды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Налоговая карточка по ЕСН</w:t>
            </w:r>
          </w:p>
          <w:p w:rsidR="00F1256C" w:rsidRDefault="009E7119">
            <w:pPr>
              <w:pStyle w:val="af4"/>
            </w:pPr>
            <w:r>
              <w:t>Реестр платежей во внебюджетные фонды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A8.3.4 Расчет платежей во внебюджетные фонды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ходы_55d3845c"/>
            <w:bookmarkEnd w:id="16"/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 xml:space="preserve">Реестр </w:t>
            </w:r>
            <w:r>
              <w:t>выплат по дивидендам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A8.3.5 Расчет выплат по дивидендам</w:t>
            </w:r>
          </w:p>
        </w:tc>
      </w:tr>
    </w:tbl>
    <w:p w:rsidR="007B5F11" w:rsidRPr="007857A6" w:rsidRDefault="007B5F11" w:rsidP="007B5F11">
      <w:pPr>
        <w:pStyle w:val="4"/>
      </w:pPr>
      <w:bookmarkStart w:id="17" w:name="С_Выходы_028a6296"/>
      <w:bookmarkEnd w:id="15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8" w:name="Выходы_028a6296"/>
            <w:bookmarkEnd w:id="18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 xml:space="preserve">Распоряжение на осуществление </w:t>
            </w:r>
            <w:r>
              <w:lastRenderedPageBreak/>
              <w:t xml:space="preserve">налоговых </w:t>
            </w:r>
            <w:r>
              <w:t>платежей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lastRenderedPageBreak/>
              <w:t>Бухгалтерское распоряжение на оплату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256C" w:rsidRDefault="009E7119">
            <w:pPr>
              <w:pStyle w:val="af4"/>
            </w:pPr>
            <w:r>
              <w:t xml:space="preserve">Начальник бюро бюджетирования и </w:t>
            </w:r>
            <w:r>
              <w:lastRenderedPageBreak/>
              <w:t>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256C" w:rsidRDefault="009E7119">
            <w:pPr>
              <w:pStyle w:val="af4"/>
            </w:pPr>
            <w:r>
              <w:lastRenderedPageBreak/>
              <w:t>A8.5.1 Формирование графика платежей</w:t>
            </w:r>
          </w:p>
        </w:tc>
      </w:tr>
    </w:tbl>
    <w:p w:rsidR="00AA00E7" w:rsidRPr="007857A6" w:rsidRDefault="00D85A15" w:rsidP="006726D8">
      <w:pPr>
        <w:pStyle w:val="4"/>
      </w:pPr>
      <w:bookmarkStart w:id="19" w:name="С_Подпроцессы_5cf21e6f"/>
      <w:bookmarkEnd w:id="17"/>
      <w:r w:rsidRPr="007857A6">
        <w:lastRenderedPageBreak/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  <w:vMerge w:val="restart"/>
          </w:tcPr>
          <w:p w:rsidR="00F1256C" w:rsidRDefault="009E7119">
            <w:pPr>
              <w:pStyle w:val="af4"/>
            </w:pPr>
            <w:r>
              <w:t>A8.3.6.1 Расчет суммы налога</w:t>
            </w:r>
          </w:p>
        </w:tc>
        <w:tc>
          <w:tcPr>
            <w:tcW w:w="555" w:type="pct"/>
            <w:vMerge w:val="restar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Налоговая карточка на физ. лицо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Налоговая карточка по ЕСН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Реестр выплат по дивидендам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Бухгалтер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Реестр платежей во внебюджетные фонды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 xml:space="preserve">Реестр по платежам на перечисление з/п и </w:t>
            </w:r>
            <w:r>
              <w:t>удержаниям из нее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Главный бухгалтер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</w:tcPr>
          <w:p w:rsidR="00F1256C" w:rsidRDefault="009E7119">
            <w:pPr>
              <w:pStyle w:val="af4"/>
            </w:pPr>
            <w:r>
              <w:t>A8.3.6.2 Формирование бухгалтерских проводок</w:t>
            </w:r>
          </w:p>
        </w:tc>
        <w:tc>
          <w:tcPr>
            <w:tcW w:w="555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Бухгалтерская операция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3.</w:t>
            </w:r>
          </w:p>
        </w:tc>
        <w:tc>
          <w:tcPr>
            <w:tcW w:w="539" w:type="pct"/>
          </w:tcPr>
          <w:p w:rsidR="00F1256C" w:rsidRDefault="009E7119">
            <w:pPr>
              <w:pStyle w:val="af4"/>
            </w:pPr>
            <w:r>
              <w:t>A8.3.6.3 Заполнение соотв.части налог.декларации</w:t>
            </w:r>
          </w:p>
        </w:tc>
        <w:tc>
          <w:tcPr>
            <w:tcW w:w="555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Бухгалтерская операция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</w:tcPr>
          <w:p w:rsidR="00F1256C" w:rsidRDefault="009E7119">
            <w:pPr>
              <w:pStyle w:val="af4"/>
            </w:pPr>
            <w:r>
              <w:t>A8.3.6.4 Формирование отчетности</w:t>
            </w:r>
          </w:p>
        </w:tc>
        <w:tc>
          <w:tcPr>
            <w:tcW w:w="555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>Должностные лица, имеющие право подписи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</w:tcPr>
          <w:p w:rsidR="00F1256C" w:rsidRDefault="009E7119">
            <w:pPr>
              <w:pStyle w:val="af4"/>
            </w:pPr>
            <w:r>
              <w:t>A8.3.6.5 Подписание налоговой декларации</w:t>
            </w:r>
          </w:p>
        </w:tc>
        <w:tc>
          <w:tcPr>
            <w:tcW w:w="555" w:type="pct"/>
          </w:tcPr>
          <w:p w:rsidR="00F1256C" w:rsidRDefault="009E7119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 xml:space="preserve">Бухгалтер, ответственный </w:t>
            </w:r>
            <w:r>
              <w:t>за расчет налога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  <w:vMerge w:val="restart"/>
          </w:tcPr>
          <w:p w:rsidR="00F1256C" w:rsidRDefault="009E7119">
            <w:pPr>
              <w:pStyle w:val="af4"/>
            </w:pPr>
            <w:r>
              <w:t>A8.3.6.6 Копирование налоговой декларации</w:t>
            </w:r>
          </w:p>
        </w:tc>
        <w:tc>
          <w:tcPr>
            <w:tcW w:w="555" w:type="pct"/>
            <w:vMerge w:val="restar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588" w:type="pct"/>
            <w:vMerge w:val="restar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71" w:type="pct"/>
            <w:vMerge w:val="restart"/>
          </w:tcPr>
          <w:p w:rsidR="00F1256C" w:rsidRDefault="009E7119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>Начальник отдела казначейства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bookmarkStart w:id="20" w:name="Подпроцессы_5cf21e6f"/>
            <w:bookmarkEnd w:id="20"/>
            <w:r>
              <w:t>7.</w:t>
            </w:r>
          </w:p>
        </w:tc>
        <w:tc>
          <w:tcPr>
            <w:tcW w:w="539" w:type="pct"/>
          </w:tcPr>
          <w:p w:rsidR="00F1256C" w:rsidRDefault="009E7119">
            <w:pPr>
              <w:pStyle w:val="af4"/>
            </w:pPr>
            <w:r>
              <w:t>A8.3.6.7 Составление распоряжений на оплату</w:t>
            </w:r>
          </w:p>
        </w:tc>
        <w:tc>
          <w:tcPr>
            <w:tcW w:w="555" w:type="pct"/>
          </w:tcPr>
          <w:p w:rsidR="00F1256C" w:rsidRDefault="009E7119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588" w:type="pct"/>
          </w:tcPr>
          <w:p w:rsidR="00F1256C" w:rsidRDefault="009E7119">
            <w:pPr>
              <w:pStyle w:val="af4"/>
            </w:pPr>
            <w:r>
              <w:t>Налоговая декларация</w:t>
            </w:r>
          </w:p>
        </w:tc>
        <w:tc>
          <w:tcPr>
            <w:tcW w:w="671" w:type="pct"/>
          </w:tcPr>
          <w:p w:rsidR="00F1256C" w:rsidRDefault="009E7119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F1256C" w:rsidRDefault="009E7119">
            <w:pPr>
              <w:pStyle w:val="af4"/>
            </w:pPr>
            <w:r>
              <w:t>Бухгалтерское распоряжение на оплату</w:t>
            </w:r>
          </w:p>
        </w:tc>
        <w:tc>
          <w:tcPr>
            <w:tcW w:w="643" w:type="pct"/>
          </w:tcPr>
          <w:p w:rsidR="00F1256C" w:rsidRDefault="009E7119">
            <w:pPr>
              <w:pStyle w:val="af4"/>
            </w:pPr>
            <w:r>
              <w:t xml:space="preserve">Начальник бюро </w:t>
            </w:r>
            <w:r>
              <w:t>бюджетирования и налогов</w:t>
            </w:r>
          </w:p>
        </w:tc>
      </w:tr>
    </w:tbl>
    <w:bookmarkEnd w:id="19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19" w:rsidRDefault="009E7119" w:rsidP="00C46DB9">
      <w:pPr>
        <w:spacing w:after="0"/>
      </w:pPr>
      <w:r>
        <w:separator/>
      </w:r>
    </w:p>
  </w:endnote>
  <w:endnote w:type="continuationSeparator" w:id="0">
    <w:p w:rsidR="009E7119" w:rsidRDefault="009E711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763D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A8.3.6 Расчет налоговых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763D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A8.3.6 Расчет налоговых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711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19" w:rsidRDefault="009E7119" w:rsidP="00C46DB9">
      <w:pPr>
        <w:spacing w:after="0"/>
      </w:pPr>
      <w:r>
        <w:separator/>
      </w:r>
    </w:p>
  </w:footnote>
  <w:footnote w:type="continuationSeparator" w:id="0">
    <w:p w:rsidR="009E7119" w:rsidRDefault="009E711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93f4f7c-8a2e-4265-9414-9ac01f61fa58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Финансово-экономическая дирекция"/>
    <w:docVar w:name="Вышестоящее_подразделени_b6551fed_1" w:val="Бухгалтерия"/>
    <w:docVar w:name="Название_процесса_4885516f" w:val="A8.3.6 Расчет налоговых платежей"/>
    <w:docVar w:name="Начало_7667edd3" w:val="Поступление информации об обязательствах компании."/>
    <w:docVar w:name="Субъект_17812492_1" w:val="Главный бухгалтер"/>
    <w:docVar w:name="Субъект_afe97db9_1" w:val="Бухгалтерия"/>
    <w:docVar w:name="Требования_к_срокам_04840304" w:val="Не регламентируются.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E711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763DF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1256C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6A2A6-487E-49A8-8311-BEB64D5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B136-A2A4-4840-8188-C487E09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2995</Characters>
  <Application>Microsoft Office Word</Application>
  <DocSecurity>0</DocSecurity>
  <Lines>304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A8.3.6 Расчет налоговых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2017-04-18T10:18:00Z</dcterms:created>
  <dcterms:modified xsi:type="dcterms:W3CDTF">2017-04-18T10:18:00Z</dcterms:modified>
</cp:coreProperties>
</file>