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0E6831">
        <w:fldChar w:fldCharType="separate"/>
      </w:r>
      <w:r w:rsidR="001308DA">
        <w:t>A4 Измерение, анализ и улучшение СМК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1308DA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4" w:name="Секция_Подразделение_5b0a5f1b"/>
      <w:bookmarkStart w:id="5" w:name="С_Предмет_деятельности_5b4d4e4d"/>
      <w:bookmarkEnd w:id="4"/>
      <w:bookmarkEnd w:id="5"/>
      <w:r w:rsidRPr="00783C29">
        <w:lastRenderedPageBreak/>
        <w:t>Исполнители процесса</w:t>
      </w:r>
    </w:p>
    <w:p w:rsidR="00B341EF" w:rsidRPr="00783C29" w:rsidRDefault="00B341EF" w:rsidP="00B341EF">
      <w:pPr>
        <w:pStyle w:val="a4"/>
      </w:pPr>
      <w:bookmarkStart w:id="6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7" w:name="Секция_Подразделение_f4daa997"/>
      <w:bookmarkStart w:id="8" w:name="С_Предмет_деятельности_24bc7435"/>
      <w:bookmarkStart w:id="9" w:name="Полный_список_субъектов__e990ef6e"/>
      <w:bookmarkStart w:id="10" w:name="С_Документация_процесса_4d48d20e"/>
      <w:bookmarkEnd w:id="6"/>
      <w:bookmarkEnd w:id="7"/>
      <w:bookmarkEnd w:id="8"/>
      <w:bookmarkEnd w:id="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ИСО 9001:2000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 развития СМК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1" w:name="Документация_процесса_4d48d20e"/>
            <w:bookmarkEnd w:id="11"/>
            <w:r>
              <w:t>Цели в области качества</w:t>
            </w:r>
          </w:p>
        </w:tc>
      </w:tr>
    </w:tbl>
    <w:p w:rsidR="004C6084" w:rsidRPr="00783C29" w:rsidRDefault="00BD4D52" w:rsidP="00013E9F">
      <w:pPr>
        <w:pStyle w:val="4"/>
      </w:pPr>
      <w:bookmarkStart w:id="12" w:name="С_Входы_8a68201f"/>
      <w:bookmarkEnd w:id="1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Справка о прохождении обучения персоналом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A2.1.3 Обучение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Справка о квалификации и опыте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A2.1.4 Аттестация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Паспорт на средства измерений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 xml:space="preserve">A3.1.4 </w:t>
            </w:r>
            <w:r>
              <w:t>Метрологическое обеспечение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Спецификация на продукцию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A3.2.1 Разработка спецификации на продукцию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Отчет о проведении анализа требований к 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A3.2.1 Разработка спецификации на продукцию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 xml:space="preserve">Отчет о проведении контроля проектной </w:t>
            </w:r>
            <w:r>
              <w:t>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A3.2.2 Разработка конструкторской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Отчет о проведении анализа проектной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A3.2.2 Разработка конструкторской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A3.2.4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 xml:space="preserve">Отчет о проведении анализа изменений </w:t>
            </w:r>
            <w:r>
              <w:t>проектной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A3.2.4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Отчет об утверждении проектной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A3.2.4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 xml:space="preserve">Отчет об утверждении специальных </w:t>
            </w:r>
            <w:r>
              <w:lastRenderedPageBreak/>
              <w:t>процессов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 xml:space="preserve">A3.2.4 Разработка </w:t>
            </w:r>
            <w:r>
              <w:lastRenderedPageBreak/>
              <w:t xml:space="preserve">технологической </w:t>
            </w:r>
            <w:r>
              <w:t>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Отчет о проведении оценки поставщиков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A3.3.1 Оценка и выбор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Маршрутный лист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A3.5.2 Производство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A3.5.3 Окончательный контроль и испытания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3" w:name="Входы_8a68201f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Маршрутный лист</w:t>
            </w:r>
          </w:p>
          <w:p w:rsidR="000E2B01" w:rsidRDefault="001308DA">
            <w:pPr>
              <w:pStyle w:val="af7"/>
            </w:pPr>
            <w:r>
              <w:t xml:space="preserve">Отчет о проведении контроля и испытаний </w:t>
            </w:r>
            <w:r>
              <w:t>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A3.5.3 Окончательный контроль и испытания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СМК, соответствующая требованиям ИСО 9001:2000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{Туннель}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Управление_bc1cb412"/>
      <w:bookmarkEnd w:id="1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План развития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План развития СМК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A1.2.3 Согласование плана развития СМК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Политика в области качества</w:t>
            </w:r>
          </w:p>
          <w:p w:rsidR="000E2B01" w:rsidRDefault="001308DA">
            <w:pPr>
              <w:pStyle w:val="af7"/>
            </w:pPr>
            <w:r>
              <w:t>Цели в области качества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A1.1.3 Согласование политики и целей в области</w:t>
            </w:r>
            <w:r>
              <w:t xml:space="preserve"> качества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Управление_bc1cb412"/>
            <w:bookmarkEnd w:id="17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Требования МС ИСО 9001:2000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B01" w:rsidRDefault="001308DA">
            <w:pPr>
              <w:pStyle w:val="af7"/>
            </w:pPr>
            <w:r>
              <w:t>ИСО 9001:2000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B01" w:rsidRDefault="001308DA">
            <w:pPr>
              <w:pStyle w:val="af7"/>
            </w:pPr>
            <w:r>
              <w:t>{Граница}</w:t>
            </w:r>
          </w:p>
        </w:tc>
      </w:tr>
    </w:tbl>
    <w:p w:rsidR="00AA00E7" w:rsidRPr="00783C29" w:rsidRDefault="00C557F2" w:rsidP="009E6F5C">
      <w:pPr>
        <w:pStyle w:val="4"/>
      </w:pPr>
      <w:bookmarkStart w:id="18" w:name="С_Подпроцессы_3a7c92a5"/>
      <w:bookmarkEnd w:id="16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0E2B01" w:rsidRDefault="001308DA">
            <w:pPr>
              <w:pStyle w:val="af7"/>
            </w:pPr>
            <w:r>
              <w:t>A4.1 Сбор результатов измерений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0E2B01" w:rsidRDefault="001308DA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 xml:space="preserve">Отчет </w:t>
            </w:r>
            <w:r>
              <w:t>о проведении оценки поставщиков</w:t>
            </w:r>
          </w:p>
        </w:tc>
        <w:tc>
          <w:tcPr>
            <w:tcW w:w="649" w:type="pct"/>
            <w:vMerge w:val="restart"/>
          </w:tcPr>
          <w:p w:rsidR="000E2B01" w:rsidRDefault="001308DA">
            <w:pPr>
              <w:pStyle w:val="af7"/>
            </w:pPr>
            <w:r>
              <w:t>Отчет о результатах измерений</w:t>
            </w:r>
          </w:p>
        </w:tc>
        <w:tc>
          <w:tcPr>
            <w:tcW w:w="615" w:type="pct"/>
            <w:vMerge w:val="restart"/>
          </w:tcPr>
          <w:p w:rsidR="000E2B01" w:rsidRDefault="001308DA">
            <w:pPr>
              <w:pStyle w:val="af7"/>
            </w:pPr>
            <w:r>
              <w:t>Отчет о результатах измерений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проведении анализа требований к продукции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Спецификация на продукцию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проведении анализа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проведении контроля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об утверждении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проведении анализа изменений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Справка о прохождении обучения персоналом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 xml:space="preserve">Отчет по </w:t>
            </w:r>
            <w:r>
              <w:t>внутреннему аудиту СМК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об утверждении специальных процессов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Маршрутный лист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  <w:p w:rsidR="000E2B01" w:rsidRDefault="001308D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 xml:space="preserve">Паспорт на </w:t>
            </w:r>
            <w:r>
              <w:t>средства измерений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Маршрутный лист</w:t>
            </w:r>
          </w:p>
          <w:p w:rsidR="000E2B01" w:rsidRDefault="001308DA">
            <w:pPr>
              <w:pStyle w:val="af7"/>
            </w:pPr>
            <w:r>
              <w:t>Отчет о проведении контроля и испытаний продукции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Справка о квалификации и опыте персонала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План развития СМК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План развития СМК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 xml:space="preserve">Политика в </w:t>
            </w:r>
            <w:r>
              <w:t>области качества</w:t>
            </w:r>
          </w:p>
          <w:p w:rsidR="000E2B01" w:rsidRDefault="001308DA">
            <w:pPr>
              <w:pStyle w:val="af7"/>
            </w:pPr>
            <w:r>
              <w:t>Цели в области качества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0E2B01" w:rsidRDefault="001308DA">
            <w:pPr>
              <w:pStyle w:val="af7"/>
            </w:pPr>
            <w:r>
              <w:t>A4.2 Анализ результатов измерений СМК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649" w:type="pct"/>
          </w:tcPr>
          <w:p w:rsidR="000E2B01" w:rsidRDefault="001308DA">
            <w:pPr>
              <w:pStyle w:val="af7"/>
            </w:pPr>
            <w:r>
              <w:t>Записи о результатах внутренних аудитов</w:t>
            </w:r>
          </w:p>
        </w:tc>
        <w:tc>
          <w:tcPr>
            <w:tcW w:w="615" w:type="pct"/>
          </w:tcPr>
          <w:p w:rsidR="000E2B01" w:rsidRDefault="001308DA">
            <w:pPr>
              <w:pStyle w:val="af7"/>
            </w:pPr>
            <w:r>
              <w:t>Отчет по внутреннему аудиту СМК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результатах измерений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результатах измерений</w:t>
            </w:r>
          </w:p>
        </w:tc>
        <w:tc>
          <w:tcPr>
            <w:tcW w:w="649" w:type="pct"/>
          </w:tcPr>
          <w:p w:rsidR="000E2B01" w:rsidRDefault="001308D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615" w:type="pct"/>
          </w:tcPr>
          <w:p w:rsidR="000E2B01" w:rsidRDefault="001308D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 xml:space="preserve">План </w:t>
            </w:r>
            <w:r>
              <w:t>развития СМК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План развития СМК</w:t>
            </w:r>
          </w:p>
        </w:tc>
        <w:tc>
          <w:tcPr>
            <w:tcW w:w="649" w:type="pct"/>
          </w:tcPr>
          <w:p w:rsidR="000E2B01" w:rsidRDefault="001308DA">
            <w:pPr>
              <w:pStyle w:val="af7"/>
            </w:pPr>
            <w:r>
              <w:t>Отчет по внутреннему аудиту СМК</w:t>
            </w:r>
          </w:p>
        </w:tc>
        <w:tc>
          <w:tcPr>
            <w:tcW w:w="615" w:type="pct"/>
          </w:tcPr>
          <w:p w:rsidR="000E2B01" w:rsidRDefault="001308DA">
            <w:pPr>
              <w:pStyle w:val="af7"/>
            </w:pPr>
            <w:r>
              <w:t>Отчет по внутреннему аудиту СМК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Политика в области качества</w:t>
            </w:r>
          </w:p>
          <w:p w:rsidR="000E2B01" w:rsidRDefault="001308DA">
            <w:pPr>
              <w:pStyle w:val="af7"/>
            </w:pPr>
            <w:r>
              <w:t>Цели в области качества</w:t>
            </w:r>
          </w:p>
        </w:tc>
        <w:tc>
          <w:tcPr>
            <w:tcW w:w="649" w:type="pct"/>
          </w:tcPr>
          <w:p w:rsidR="000E2B01" w:rsidRDefault="001308DA">
            <w:pPr>
              <w:pStyle w:val="af7"/>
            </w:pPr>
            <w:r>
              <w:t>СМК, соответствующая требованиям ИСО 9001:2000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0E2B01" w:rsidRDefault="001308DA">
            <w:pPr>
              <w:pStyle w:val="af7"/>
            </w:pPr>
            <w:r>
              <w:t xml:space="preserve">A4.3 Выполнение </w:t>
            </w:r>
            <w:r>
              <w:t>корректирующих и предупреждающих действий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  <w:tc>
          <w:tcPr>
            <w:tcW w:w="649" w:type="pct"/>
          </w:tcPr>
          <w:p w:rsidR="000E2B01" w:rsidRDefault="001308DA">
            <w:pPr>
              <w:pStyle w:val="af7"/>
            </w:pPr>
            <w:r>
              <w:t>Записи о результатах корректирующих и предупреждающих действиях</w:t>
            </w:r>
          </w:p>
        </w:tc>
        <w:tc>
          <w:tcPr>
            <w:tcW w:w="615" w:type="pct"/>
          </w:tcPr>
          <w:p w:rsidR="000E2B01" w:rsidRDefault="001308DA">
            <w:pPr>
              <w:pStyle w:val="af7"/>
            </w:pPr>
            <w:r>
              <w:t>Отчет о выпол</w:t>
            </w:r>
            <w:r>
              <w:t>нении корректирующих и предупреждающих действий</w:t>
            </w:r>
          </w:p>
          <w:p w:rsidR="000E2B01" w:rsidRDefault="001308DA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по внутреннему аудиту СМК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Отчет по внутреннему аудиту СМК</w:t>
            </w:r>
          </w:p>
        </w:tc>
        <w:tc>
          <w:tcPr>
            <w:tcW w:w="649" w:type="pct"/>
          </w:tcPr>
          <w:p w:rsidR="000E2B01" w:rsidRDefault="001308DA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615" w:type="pct"/>
          </w:tcPr>
          <w:p w:rsidR="000E2B01" w:rsidRDefault="001308DA">
            <w:pPr>
              <w:pStyle w:val="af7"/>
            </w:pPr>
            <w:r>
              <w:t xml:space="preserve">Отчет о </w:t>
            </w:r>
            <w:r>
              <w:t>выполнении корректирующих и предупреждающих действий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План развития СМК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План развития СМК</w:t>
            </w:r>
          </w:p>
        </w:tc>
        <w:tc>
          <w:tcPr>
            <w:tcW w:w="649" w:type="pct"/>
            <w:vMerge w:val="restart"/>
          </w:tcPr>
          <w:p w:rsidR="000E2B01" w:rsidRDefault="001308DA">
            <w:pPr>
              <w:pStyle w:val="af7"/>
            </w:pPr>
            <w:r>
              <w:t>СМК, соответствующая требованиям ИСО 9001:2000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19" w:name="Подпроцессы_3a7c92a5"/>
            <w:bookmarkEnd w:id="1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02" w:type="pct"/>
          </w:tcPr>
          <w:p w:rsidR="000E2B01" w:rsidRDefault="001308DA">
            <w:pPr>
              <w:pStyle w:val="af7"/>
            </w:pPr>
            <w:r>
              <w:t>Политика в области качества</w:t>
            </w:r>
          </w:p>
          <w:p w:rsidR="000E2B01" w:rsidRDefault="001308DA">
            <w:pPr>
              <w:pStyle w:val="af7"/>
            </w:pPr>
            <w:r>
              <w:t>Цели в области качества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1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DA" w:rsidRDefault="001308DA" w:rsidP="00C46DB9">
      <w:pPr>
        <w:spacing w:after="0"/>
      </w:pPr>
      <w:r>
        <w:separator/>
      </w:r>
    </w:p>
  </w:endnote>
  <w:endnote w:type="continuationSeparator" w:id="0">
    <w:p w:rsidR="001308DA" w:rsidRDefault="001308D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E683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308DA">
            <w:rPr>
              <w:rFonts w:cs="Arial"/>
              <w:noProof/>
              <w:sz w:val="18"/>
              <w:szCs w:val="16"/>
              <w:lang w:eastAsia="en-US"/>
            </w:rPr>
            <w:t>A4 Измерение, анализ и улучшение СМК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308D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308D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DA" w:rsidRDefault="001308DA" w:rsidP="00C46DB9">
      <w:pPr>
        <w:spacing w:after="0"/>
      </w:pPr>
      <w:r>
        <w:separator/>
      </w:r>
    </w:p>
  </w:footnote>
  <w:footnote w:type="continuationSeparator" w:id="0">
    <w:p w:rsidR="001308DA" w:rsidRDefault="001308D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4d5d0c7-58f3-4d59-8986-651daf209501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4 Измерение, анализ и улучшение СМК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2B01"/>
    <w:rsid w:val="000E6831"/>
    <w:rsid w:val="000E71E5"/>
    <w:rsid w:val="000F60AE"/>
    <w:rsid w:val="00106DFE"/>
    <w:rsid w:val="001132BE"/>
    <w:rsid w:val="00124367"/>
    <w:rsid w:val="001243BB"/>
    <w:rsid w:val="001308DA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5E409-5F6A-4BC2-92F9-908E8B0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924A-C0A1-4BCB-9203-E1925E12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3943</Characters>
  <Application>Microsoft Office Word</Application>
  <DocSecurity>0</DocSecurity>
  <Lines>556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 Измерение, анализ и улучшение СМК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2016-06-23T11:02:00Z</dcterms:created>
  <dcterms:modified xsi:type="dcterms:W3CDTF">2016-06-23T11:02:00Z</dcterms:modified>
</cp:coreProperties>
</file>