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A96ED0">
        <w:fldChar w:fldCharType="separate"/>
      </w:r>
      <w:r w:rsidR="002D65C9">
        <w:t>A2.2 Управление  ремонтом и обслуживанием оборудования</w:t>
      </w:r>
      <w:r w:rsidRPr="00783C29">
        <w:fldChar w:fldCharType="end"/>
      </w:r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62"/>
      </w:tblGrid>
      <w:tr w:rsidR="005B3F0E" w:rsidRPr="00783C29" w:rsidTr="00421E02">
        <w:trPr>
          <w:cantSplit/>
          <w:trHeight w:val="8902"/>
          <w:jc w:val="center"/>
        </w:trPr>
        <w:tc>
          <w:tcPr>
            <w:tcW w:w="5000" w:type="pct"/>
            <w:tcFitText/>
          </w:tcPr>
          <w:p w:rsidR="005B3F0E" w:rsidRPr="00783C29" w:rsidRDefault="002D65C9" w:rsidP="00C46DB9">
            <w:pPr>
              <w:ind w:left="0"/>
              <w:jc w:val="center"/>
            </w:pPr>
            <w:bookmarkStart w:id="2" w:name="Диаграмма_626ed7b6"/>
            <w:bookmarkStart w:id="3" w:name="С_Диаграмма_2edcfc7f"/>
            <w:bookmarkEnd w:id="2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5.45pt;height:442.9pt">
                  <v:imagedata r:id="rId8" o:title="title"/>
                </v:shape>
              </w:pict>
            </w:r>
          </w:p>
        </w:tc>
      </w:tr>
      <w:bookmarkEnd w:id="3"/>
    </w:tbl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4" w:name="Секция_Подразделение_5b0a5f1b"/>
      <w:bookmarkStart w:id="5" w:name="С_Предмет_деятельности_5b4d4e4d"/>
      <w:bookmarkEnd w:id="4"/>
      <w:bookmarkEnd w:id="5"/>
      <w:r w:rsidRPr="00783C29">
        <w:lastRenderedPageBreak/>
        <w:t>Исполнители процесса</w:t>
      </w:r>
    </w:p>
    <w:p w:rsidR="00B341EF" w:rsidRPr="00783C29" w:rsidRDefault="00B341EF" w:rsidP="00B341EF">
      <w:pPr>
        <w:pStyle w:val="a4"/>
      </w:pPr>
      <w:bookmarkStart w:id="6" w:name="Секция_НетИсполнителей_f8551d45"/>
      <w:r w:rsidRPr="00783C29">
        <w:t xml:space="preserve"> </w:t>
      </w:r>
    </w:p>
    <w:p w:rsidR="004C6084" w:rsidRPr="00783C29" w:rsidRDefault="00E84781" w:rsidP="0063759C">
      <w:pPr>
        <w:pStyle w:val="4"/>
      </w:pPr>
      <w:bookmarkStart w:id="7" w:name="Секция_Подразделение_f4daa997"/>
      <w:bookmarkStart w:id="8" w:name="С_Предмет_деятельности_24bc7435"/>
      <w:bookmarkStart w:id="9" w:name="Полный_список_субъектов__e990ef6e"/>
      <w:bookmarkStart w:id="10" w:name="С_Документация_процесса_4d48d20e"/>
      <w:bookmarkEnd w:id="6"/>
      <w:bookmarkEnd w:id="7"/>
      <w:bookmarkEnd w:id="8"/>
      <w:bookmarkEnd w:id="9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Нормативно-правовые акты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План развития СМК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Политика в области качества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1" w:name="Документация_процесса_4d48d20e"/>
            <w:bookmarkEnd w:id="11"/>
            <w:r>
              <w:t>Цели в области качества</w:t>
            </w:r>
          </w:p>
        </w:tc>
      </w:tr>
    </w:tbl>
    <w:p w:rsidR="004C6084" w:rsidRPr="00783C29" w:rsidRDefault="00BD4D52" w:rsidP="00013E9F">
      <w:pPr>
        <w:pStyle w:val="4"/>
      </w:pPr>
      <w:bookmarkStart w:id="12" w:name="С_Входы_8a68201f"/>
      <w:bookmarkEnd w:id="10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A3.5.2 Производство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3" w:name="Входы_8a68201f"/>
            <w:bookmarkEnd w:id="13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A1.1.1 Анализ возможностей организации</w:t>
            </w:r>
          </w:p>
        </w:tc>
      </w:tr>
    </w:tbl>
    <w:p w:rsidR="00191BB2" w:rsidRPr="00783C29" w:rsidRDefault="00013E9F" w:rsidP="00013E9F">
      <w:pPr>
        <w:pStyle w:val="4"/>
      </w:pPr>
      <w:bookmarkStart w:id="14" w:name="С_Выходы_77e99dfd"/>
      <w:bookmarkEnd w:id="12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A3.5.2 Производство продукции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5" w:name="Выходы_77e99dfd"/>
            <w:bookmarkEnd w:id="15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A3.5.1 Планирование производства</w:t>
            </w:r>
          </w:p>
        </w:tc>
      </w:tr>
    </w:tbl>
    <w:p w:rsidR="00013E9F" w:rsidRPr="00783C29" w:rsidRDefault="00013E9F" w:rsidP="00013E9F">
      <w:pPr>
        <w:pStyle w:val="4"/>
      </w:pPr>
      <w:bookmarkStart w:id="16" w:name="С_Управление_bc1cb412"/>
      <w:bookmarkEnd w:id="14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{Туннель}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План развития СМК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План развития СМК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A1.2.3 Согласование плана развития СМК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7" w:name="Управление_bc1cb412"/>
            <w:bookmarkEnd w:id="17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 xml:space="preserve">Политика и цели в </w:t>
            </w:r>
            <w:r>
              <w:t>области качества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6B19" w:rsidRDefault="002D65C9">
            <w:pPr>
              <w:pStyle w:val="af7"/>
            </w:pPr>
            <w:r>
              <w:t>Политика в области качества</w:t>
            </w:r>
          </w:p>
          <w:p w:rsidR="00C76B19" w:rsidRDefault="002D65C9">
            <w:pPr>
              <w:pStyle w:val="af7"/>
            </w:pPr>
            <w:r>
              <w:t>Цели в области качества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B19" w:rsidRDefault="002D65C9">
            <w:pPr>
              <w:pStyle w:val="af7"/>
            </w:pPr>
            <w:r>
              <w:t>A1.1.3 Согласование политики и целей в области качества</w:t>
            </w:r>
          </w:p>
        </w:tc>
      </w:tr>
    </w:tbl>
    <w:p w:rsidR="00AA00E7" w:rsidRPr="00783C29" w:rsidRDefault="00C557F2" w:rsidP="009E6F5C">
      <w:pPr>
        <w:pStyle w:val="4"/>
      </w:pPr>
      <w:bookmarkStart w:id="18" w:name="С_Подпроцессы_3a7c92a5"/>
      <w:bookmarkEnd w:id="16"/>
      <w:r w:rsidRPr="00783C29">
        <w:lastRenderedPageBreak/>
        <w:t>Описание подпроцессов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241"/>
        <w:gridCol w:w="1679"/>
        <w:gridCol w:w="1824"/>
        <w:gridCol w:w="1261"/>
        <w:gridCol w:w="1821"/>
        <w:gridCol w:w="1821"/>
        <w:gridCol w:w="1963"/>
        <w:gridCol w:w="1860"/>
      </w:tblGrid>
      <w:tr w:rsidR="00F14026" w:rsidRPr="00783C29" w:rsidTr="00EF53C8">
        <w:trPr>
          <w:trHeight w:val="255"/>
          <w:tblHeader/>
        </w:trPr>
        <w:tc>
          <w:tcPr>
            <w:tcW w:w="216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Процесс</w:t>
            </w:r>
          </w:p>
        </w:tc>
        <w:tc>
          <w:tcPr>
            <w:tcW w:w="555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Владелец</w:t>
            </w:r>
          </w:p>
        </w:tc>
        <w:tc>
          <w:tcPr>
            <w:tcW w:w="603" w:type="pct"/>
            <w:vMerge w:val="restart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Исполнители</w:t>
            </w:r>
          </w:p>
        </w:tc>
        <w:tc>
          <w:tcPr>
            <w:tcW w:w="1621" w:type="pct"/>
            <w:gridSpan w:val="3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Входы</w:t>
            </w:r>
          </w:p>
        </w:tc>
        <w:tc>
          <w:tcPr>
            <w:tcW w:w="1264" w:type="pct"/>
            <w:gridSpan w:val="2"/>
            <w:shd w:val="clear" w:color="auto" w:fill="BFBFBF"/>
            <w:vAlign w:val="center"/>
          </w:tcPr>
          <w:p w:rsidR="00C557F2" w:rsidRPr="00783C29" w:rsidRDefault="00C557F2" w:rsidP="008A7599">
            <w:pPr>
              <w:pStyle w:val="ac"/>
              <w:keepNext/>
            </w:pPr>
            <w:r w:rsidRPr="00783C29">
              <w:t>Выходы</w:t>
            </w:r>
          </w:p>
        </w:tc>
      </w:tr>
      <w:tr w:rsidR="00F14026" w:rsidRPr="00783C29" w:rsidTr="00EF53C8">
        <w:trPr>
          <w:trHeight w:val="405"/>
          <w:tblHeader/>
        </w:trPr>
        <w:tc>
          <w:tcPr>
            <w:tcW w:w="216" w:type="pct"/>
            <w:vMerge/>
            <w:shd w:val="clear" w:color="auto" w:fill="BFBFBF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555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603" w:type="pct"/>
            <w:vMerge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</w:p>
        </w:tc>
        <w:tc>
          <w:tcPr>
            <w:tcW w:w="417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Тип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49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Название</w:t>
            </w:r>
          </w:p>
        </w:tc>
        <w:tc>
          <w:tcPr>
            <w:tcW w:w="615" w:type="pct"/>
            <w:shd w:val="clear" w:color="auto" w:fill="BFBFBF"/>
            <w:vAlign w:val="center"/>
          </w:tcPr>
          <w:p w:rsidR="004A510A" w:rsidRPr="00783C29" w:rsidRDefault="004A510A" w:rsidP="008A7599">
            <w:pPr>
              <w:pStyle w:val="ac"/>
              <w:keepNext/>
            </w:pPr>
            <w:r w:rsidRPr="00783C29">
              <w:t>Объекты</w:t>
            </w: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1.</w:t>
            </w:r>
          </w:p>
        </w:tc>
        <w:tc>
          <w:tcPr>
            <w:tcW w:w="741" w:type="pct"/>
            <w:vMerge w:val="restart"/>
          </w:tcPr>
          <w:p w:rsidR="00C76B19" w:rsidRDefault="002D65C9">
            <w:pPr>
              <w:pStyle w:val="af7"/>
            </w:pPr>
            <w:r>
              <w:t xml:space="preserve">A2.2.1 </w:t>
            </w:r>
            <w:r>
              <w:t>Планирование ремонта и обслуживания оборудования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Отчет о внутренней среде</w:t>
            </w:r>
          </w:p>
        </w:tc>
        <w:tc>
          <w:tcPr>
            <w:tcW w:w="649" w:type="pct"/>
            <w:vMerge w:val="restart"/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15" w:type="pct"/>
            <w:vMerge w:val="restart"/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2.</w:t>
            </w:r>
          </w:p>
        </w:tc>
        <w:tc>
          <w:tcPr>
            <w:tcW w:w="741" w:type="pct"/>
            <w:vMerge w:val="restart"/>
          </w:tcPr>
          <w:p w:rsidR="00C76B19" w:rsidRDefault="002D65C9">
            <w:pPr>
              <w:pStyle w:val="af7"/>
            </w:pPr>
            <w:r>
              <w:t>A2.2.2 Выполнение ремонта и обслуживания оборудования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Оборудование к обслуживанию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  <w:vMerge w:val="restart"/>
          </w:tcPr>
          <w:p w:rsidR="00C76B19" w:rsidRDefault="002D65C9">
            <w:pPr>
              <w:pStyle w:val="af7"/>
            </w:pPr>
            <w:r>
              <w:t>Оборудование в рабочем состоянии</w:t>
            </w:r>
          </w:p>
        </w:tc>
        <w:tc>
          <w:tcPr>
            <w:tcW w:w="615" w:type="pct"/>
            <w:vMerge w:val="restart"/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 w:val="restar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План-график ремонта и обслуживания оборудования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  <w:tr w:rsidR="00F14026" w:rsidRPr="00783C29" w:rsidTr="00EF53C8">
        <w:tc>
          <w:tcPr>
            <w:tcW w:w="216" w:type="pct"/>
            <w:vMerge w:val="restart"/>
          </w:tcPr>
          <w:p w:rsidR="004A510A" w:rsidRPr="00783C29" w:rsidRDefault="004A510A" w:rsidP="00C36300">
            <w:pPr>
              <w:pStyle w:val="af7"/>
            </w:pPr>
            <w:r>
              <w:t>3.</w:t>
            </w:r>
          </w:p>
        </w:tc>
        <w:tc>
          <w:tcPr>
            <w:tcW w:w="741" w:type="pct"/>
            <w:vMerge w:val="restart"/>
          </w:tcPr>
          <w:p w:rsidR="00C76B19" w:rsidRDefault="002D65C9">
            <w:pPr>
              <w:pStyle w:val="af7"/>
            </w:pPr>
            <w:r>
              <w:t>A2.2.3 Ввод оборудования в эксплуатацию</w:t>
            </w:r>
          </w:p>
        </w:tc>
        <w:tc>
          <w:tcPr>
            <w:tcW w:w="555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 w:val="restart"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Вход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Оборудование в рабочем состоянии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  <w:tc>
          <w:tcPr>
            <w:tcW w:w="649" w:type="pct"/>
            <w:vMerge w:val="restart"/>
          </w:tcPr>
          <w:p w:rsidR="00C76B19" w:rsidRDefault="002D65C9">
            <w:pPr>
              <w:pStyle w:val="af7"/>
            </w:pPr>
            <w:r>
              <w:t>Оборудование к эксплуатации</w:t>
            </w:r>
          </w:p>
        </w:tc>
        <w:tc>
          <w:tcPr>
            <w:tcW w:w="615" w:type="pct"/>
            <w:vMerge w:val="restart"/>
          </w:tcPr>
          <w:p w:rsidR="00C76B19" w:rsidRDefault="002D65C9">
            <w:pPr>
              <w:pStyle w:val="af7"/>
            </w:pPr>
            <w:r>
              <w:t>Оборудование</w:t>
            </w:r>
          </w:p>
        </w:tc>
      </w:tr>
      <w:tr w:rsidR="00F14026" w:rsidRPr="00783C29" w:rsidTr="00EF53C8">
        <w:tc>
          <w:tcPr>
            <w:tcW w:w="216" w:type="pct"/>
            <w:vMerge/>
          </w:tcPr>
          <w:p w:rsidR="004A510A" w:rsidRPr="00783C29" w:rsidRDefault="004A510A" w:rsidP="00C36300">
            <w:pPr>
              <w:pStyle w:val="af7"/>
            </w:pPr>
            <w:bookmarkStart w:id="19" w:name="Подпроцессы_3a7c92a5"/>
            <w:bookmarkEnd w:id="19"/>
          </w:p>
        </w:tc>
        <w:tc>
          <w:tcPr>
            <w:tcW w:w="741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55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03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417" w:type="pct"/>
          </w:tcPr>
          <w:p w:rsidR="004A510A" w:rsidRPr="00783C29" w:rsidRDefault="004A510A" w:rsidP="00143E74">
            <w:pPr>
              <w:pStyle w:val="af7"/>
            </w:pPr>
            <w:r>
              <w:t>Управление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02" w:type="pct"/>
          </w:tcPr>
          <w:p w:rsidR="00C76B19" w:rsidRDefault="002D65C9">
            <w:pPr>
              <w:pStyle w:val="af7"/>
            </w:pPr>
            <w:r>
              <w:t>Нормативно-правовые акты</w:t>
            </w:r>
          </w:p>
        </w:tc>
        <w:tc>
          <w:tcPr>
            <w:tcW w:w="649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  <w:tc>
          <w:tcPr>
            <w:tcW w:w="615" w:type="pct"/>
            <w:vMerge/>
          </w:tcPr>
          <w:p w:rsidR="004A510A" w:rsidRPr="00783C29" w:rsidRDefault="004A510A" w:rsidP="00143E74">
            <w:pPr>
              <w:pStyle w:val="af7"/>
            </w:pPr>
          </w:p>
        </w:tc>
      </w:tr>
    </w:tbl>
    <w:bookmarkEnd w:id="18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9"/>
      <w:footerReference w:type="default" r:id="rId10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C9" w:rsidRDefault="002D65C9" w:rsidP="00C46DB9">
      <w:pPr>
        <w:spacing w:after="0"/>
      </w:pPr>
      <w:r>
        <w:separator/>
      </w:r>
    </w:p>
  </w:endnote>
  <w:endnote w:type="continuationSeparator" w:id="0">
    <w:p w:rsidR="002D65C9" w:rsidRDefault="002D65C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A96ED0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D65C9">
            <w:rPr>
              <w:rFonts w:cs="Arial"/>
              <w:noProof/>
              <w:sz w:val="18"/>
              <w:szCs w:val="16"/>
              <w:lang w:eastAsia="en-US"/>
            </w:rPr>
            <w:t>A2.2 Управление  ремонтом и обслуживанием оборудования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D65C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D65C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C9" w:rsidRDefault="002D65C9" w:rsidP="00C46DB9">
      <w:pPr>
        <w:spacing w:after="0"/>
      </w:pPr>
      <w:r>
        <w:separator/>
      </w:r>
    </w:p>
  </w:footnote>
  <w:footnote w:type="continuationSeparator" w:id="0">
    <w:p w:rsidR="002D65C9" w:rsidRDefault="002D65C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a0c03963-31c6-4fdc-944c-694c54cb3c56"/>
    <w:docVar w:name="BSPortal" w:val="False"/>
    <w:docVar w:name="BSTemplateGUID" w:val="c7d1a78d-467b-4a06-b3c9-6e6c20344b31"/>
    <w:docVar w:name="BSUserType" w:val="NFR"/>
    <w:docVar w:name="BSVersion" w:val="4.1.5996.31293"/>
    <w:docVar w:name="Название_процесса_c1a6d29f" w:val="A2.2 Управление  ремонтом и обслуживанием оборудования"/>
    <w:docVar w:name="Начало_30e4ab32" w:val=" "/>
    <w:docVar w:name="Результат_90b6d72d" w:val=" "/>
    <w:docVar w:name="Содержание_деятельности_d085921d" w:val=" 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5C9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96ED0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76B19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5A93FE-492F-478C-89B6-E0AE9C1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CDFC-AACD-4A6E-AFAD-E62C6ACB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1758</Characters>
  <Application>Microsoft Office Word</Application>
  <DocSecurity>0</DocSecurity>
  <Lines>195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A2.2 Управление  ремонтом и обслуживанием оборудования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2016-06-23T10:59:00Z</dcterms:created>
  <dcterms:modified xsi:type="dcterms:W3CDTF">2016-06-23T10:59:00Z</dcterms:modified>
</cp:coreProperties>
</file>