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25C03">
          <w:t xml:space="preserve">Политика и цели в области качества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Цели в области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A0 Деятельность организации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03" w:rsidRDefault="00925C03" w:rsidP="009E192E">
      <w:pPr>
        <w:spacing w:after="0"/>
      </w:pPr>
      <w:r>
        <w:separator/>
      </w:r>
    </w:p>
  </w:endnote>
  <w:endnote w:type="continuationSeparator" w:id="0">
    <w:p w:rsidR="00925C03" w:rsidRDefault="00925C0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25C0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25C03">
            <w:rPr>
              <w:bCs/>
            </w:rPr>
            <w:t>Стрелка «Политика</w:t>
          </w:r>
          <w:r>
            <w:t xml:space="preserve"> и цели в области качества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5C0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25C0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03" w:rsidRDefault="00925C03" w:rsidP="009E192E">
      <w:pPr>
        <w:spacing w:after="0"/>
      </w:pPr>
      <w:r>
        <w:separator/>
      </w:r>
    </w:p>
  </w:footnote>
  <w:footnote w:type="continuationSeparator" w:id="0">
    <w:p w:rsidR="00925C03" w:rsidRDefault="00925C0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ce0d4ac-954b-4da6-9914-edd103b7916e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олитика и цели в области качества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42B87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25C03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0AC0F2-7B82-4945-8179-7A94ABBA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