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275A0">
          <w:t>Договор с потребителем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Продажи готовой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A3.4.2 Формирование плана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A3.4.4 Организация сервисного обслуживания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A0" w:rsidRDefault="009275A0" w:rsidP="009E192E">
      <w:pPr>
        <w:spacing w:after="0"/>
      </w:pPr>
      <w:r>
        <w:separator/>
      </w:r>
    </w:p>
  </w:endnote>
  <w:endnote w:type="continuationSeparator" w:id="0">
    <w:p w:rsidR="009275A0" w:rsidRDefault="009275A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275A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275A0">
            <w:rPr>
              <w:bCs/>
            </w:rPr>
            <w:t>Стрелка «Договор</w:t>
          </w:r>
          <w:r>
            <w:t xml:space="preserve"> с потребителем»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75A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275A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A0" w:rsidRDefault="009275A0" w:rsidP="009E192E">
      <w:pPr>
        <w:spacing w:after="0"/>
      </w:pPr>
      <w:r>
        <w:separator/>
      </w:r>
    </w:p>
  </w:footnote>
  <w:footnote w:type="continuationSeparator" w:id="0">
    <w:p w:rsidR="009275A0" w:rsidRDefault="009275A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f89c75-b1ce-479e-aa6b-b7152f36c319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Договор с потребителе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275A0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37A58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63FB2-2A4B-41F9-A4BE-4B3C91E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202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с потребителем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