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850D4">
        <w:fldChar w:fldCharType="separate"/>
      </w:r>
      <w:r w:rsidR="00F657ED">
        <w:t>Процедура предупреждающих действий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850D4">
              <w:fldChar w:fldCharType="separate"/>
            </w:r>
            <w:r w:rsidR="00F657E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850D4">
              <w:fldChar w:fldCharType="separate"/>
            </w:r>
            <w:r w:rsidR="00F657ED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ED" w:rsidRDefault="00F657ED" w:rsidP="006A6B29">
      <w:pPr>
        <w:spacing w:after="0"/>
      </w:pPr>
      <w:r>
        <w:separator/>
      </w:r>
    </w:p>
  </w:endnote>
  <w:endnote w:type="continuationSeparator" w:id="0">
    <w:p w:rsidR="00F657ED" w:rsidRDefault="00F657E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850D4">
            <w:rPr>
              <w:rFonts w:cs="Arial"/>
              <w:sz w:val="18"/>
              <w:szCs w:val="18"/>
            </w:rPr>
            <w:fldChar w:fldCharType="separate"/>
          </w:r>
          <w:r w:rsidR="00F657ED">
            <w:rPr>
              <w:rFonts w:cs="Arial"/>
              <w:noProof/>
              <w:sz w:val="18"/>
              <w:szCs w:val="18"/>
            </w:rPr>
            <w:t>Процедура предупреждающих действий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657E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657E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657E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ED" w:rsidRDefault="00F657ED" w:rsidP="006A6B29">
      <w:pPr>
        <w:spacing w:after="0"/>
      </w:pPr>
      <w:r>
        <w:separator/>
      </w:r>
    </w:p>
  </w:footnote>
  <w:footnote w:type="continuationSeparator" w:id="0">
    <w:p w:rsidR="00F657ED" w:rsidRDefault="00F657E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86af062-af33-4648-a7ed-1e74e8a34ae9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предупреждающих действий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850D4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657ED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A1BEE-36B1-408C-A8D0-060F58DE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107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предупреждающих действий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