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543D3C">
        <w:fldChar w:fldCharType="separate"/>
      </w:r>
      <w:r w:rsidR="002E32D7">
        <w:t>Акт о несоответствующей поставке ресурсов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543D3C">
              <w:fldChar w:fldCharType="separate"/>
            </w:r>
            <w:r w:rsidR="002E32D7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543D3C">
              <w:fldChar w:fldCharType="separate"/>
            </w:r>
            <w:r w:rsidR="002E32D7">
              <w:t xml:space="preserve"> </w:t>
            </w:r>
            <w:r w:rsidRPr="000725D0">
              <w:fldChar w:fldCharType="end"/>
            </w:r>
          </w:p>
        </w:tc>
      </w:tr>
    </w:tbl>
    <w:p w:rsidR="00002B3B" w:rsidRPr="000725D0" w:rsidRDefault="00002B3B" w:rsidP="009747D8">
      <w:pPr>
        <w:pStyle w:val="2"/>
        <w:numPr>
          <w:ilvl w:val="0"/>
          <w:numId w:val="0"/>
        </w:numPr>
      </w:pPr>
      <w:bookmarkStart w:id="1" w:name="С_Атрибуты_d0742585"/>
      <w:r w:rsidRPr="000725D0">
        <w:t>Атрибуты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2"/>
      </w:tblGrid>
      <w:tr w:rsidR="00002B3B" w:rsidRPr="000725D0" w:rsidTr="00DC1F1F">
        <w:trPr>
          <w:tblHeader/>
        </w:trPr>
        <w:tc>
          <w:tcPr>
            <w:tcW w:w="8613" w:type="dxa"/>
            <w:shd w:val="clear" w:color="auto" w:fill="CCCCCC"/>
          </w:tcPr>
          <w:p w:rsidR="00002B3B" w:rsidRPr="000725D0" w:rsidRDefault="00002B3B" w:rsidP="009603D7">
            <w:pPr>
              <w:pStyle w:val="a6"/>
              <w:keepNext/>
            </w:pPr>
            <w:r w:rsidRPr="000725D0">
              <w:t>Атрибут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Номер накладной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Количество поступивших ресурсов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Количество контейнеров, мешков с механическими повреждениями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Количество просыпавшегося и загрязненного сырья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Дата соствления акта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Фамилия и подпись кладовщика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Фамилия и подпись контролера входного контроля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Фамилия и подпись экспедитора, доставившего ресурсы на предприятие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Наименование поступившей продукции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Описание несоответствия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Номер партии ресурсов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r>
              <w:t>Наименование поставщика ресурсов</w:t>
            </w:r>
          </w:p>
        </w:tc>
      </w:tr>
      <w:tr w:rsidR="00002B3B" w:rsidRPr="000725D0" w:rsidTr="00DC1F1F">
        <w:tc>
          <w:tcPr>
            <w:tcW w:w="8613" w:type="dxa"/>
          </w:tcPr>
          <w:p w:rsidR="00002B3B" w:rsidRPr="000725D0" w:rsidRDefault="00002B3B" w:rsidP="00D9249A">
            <w:pPr>
              <w:pStyle w:val="ae"/>
            </w:pPr>
            <w:bookmarkStart w:id="2" w:name="Атрибуты_d0742585"/>
            <w:bookmarkEnd w:id="2"/>
            <w:r>
              <w:t>Дата поступления ресурсов на предприятие</w:t>
            </w:r>
          </w:p>
        </w:tc>
      </w:tr>
    </w:tbl>
    <w:p w:rsidR="00002B3B" w:rsidRPr="000725D0" w:rsidRDefault="004738DB" w:rsidP="00551523">
      <w:r w:rsidRPr="000725D0">
        <w:t xml:space="preserve"> </w:t>
      </w:r>
    </w:p>
    <w:bookmarkEnd w:id="1"/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lastRenderedPageBreak/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3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D1591" w:rsidRDefault="002E32D7">
            <w:pPr>
              <w:pStyle w:val="ae"/>
            </w:pPr>
            <w:r>
              <w:t>A3.3.3 Размещение заказов на поставку ресурсов</w:t>
            </w:r>
          </w:p>
        </w:tc>
        <w:tc>
          <w:tcPr>
            <w:tcW w:w="876" w:type="pct"/>
          </w:tcPr>
          <w:p w:rsidR="00DD1591" w:rsidRDefault="002E32D7">
            <w:pPr>
              <w:pStyle w:val="ae"/>
            </w:pPr>
            <w:r>
              <w:t>Группа планирования и учета материальных ресурсов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несоответствии поставок</w:t>
            </w:r>
          </w:p>
        </w:tc>
        <w:tc>
          <w:tcPr>
            <w:tcW w:w="0" w:type="auto"/>
          </w:tcPr>
          <w:p w:rsidR="00DD1591" w:rsidRDefault="002E32D7">
            <w:pPr>
              <w:pStyle w:val="ae"/>
            </w:pPr>
            <w:r>
              <w:t>A3.6.1 Анализ претензий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DD1591" w:rsidRDefault="002E32D7">
            <w:pPr>
              <w:pStyle w:val="ae"/>
            </w:pPr>
            <w:r>
              <w:t xml:space="preserve">A3.4.2 </w:t>
            </w:r>
            <w:r>
              <w:t>Организация доставки ресурсов</w:t>
            </w:r>
          </w:p>
        </w:tc>
        <w:tc>
          <w:tcPr>
            <w:tcW w:w="876" w:type="pct"/>
          </w:tcPr>
          <w:p w:rsidR="00DD1591" w:rsidRDefault="002E32D7">
            <w:pPr>
              <w:pStyle w:val="ae"/>
            </w:pPr>
            <w:r>
              <w:t>Группа планирования и учета материальных ресурсов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несоответствии поставок</w:t>
            </w:r>
          </w:p>
        </w:tc>
        <w:tc>
          <w:tcPr>
            <w:tcW w:w="0" w:type="auto"/>
          </w:tcPr>
          <w:p w:rsidR="00DD1591" w:rsidRDefault="002E32D7">
            <w:pPr>
              <w:pStyle w:val="ae"/>
            </w:pPr>
            <w:r>
              <w:t>A3.6.1 Анализ претензий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DD1591" w:rsidRDefault="002E32D7">
            <w:pPr>
              <w:pStyle w:val="ae"/>
            </w:pPr>
            <w:r>
              <w:t>A3.5.1 Приемка ресурсов от поставщиков</w:t>
            </w:r>
          </w:p>
        </w:tc>
        <w:tc>
          <w:tcPr>
            <w:tcW w:w="876" w:type="pct"/>
          </w:tcPr>
          <w:p w:rsidR="00DD1591" w:rsidRDefault="002E32D7">
            <w:pPr>
              <w:pStyle w:val="ae"/>
            </w:pPr>
            <w:r>
              <w:t>Склад МТО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 несоответствии поставок</w:t>
            </w:r>
          </w:p>
        </w:tc>
        <w:tc>
          <w:tcPr>
            <w:tcW w:w="0" w:type="auto"/>
          </w:tcPr>
          <w:p w:rsidR="00DD1591" w:rsidRDefault="002E32D7">
            <w:pPr>
              <w:pStyle w:val="ae"/>
            </w:pPr>
            <w:r>
              <w:t xml:space="preserve">A3.6.1 </w:t>
            </w:r>
            <w:r>
              <w:t>Анализ претензий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DD1591" w:rsidRDefault="002E32D7">
            <w:pPr>
              <w:pStyle w:val="ae"/>
            </w:pPr>
            <w:r>
              <w:t>A3.6.1 Анализ претензий</w:t>
            </w:r>
          </w:p>
        </w:tc>
        <w:tc>
          <w:tcPr>
            <w:tcW w:w="876" w:type="pct"/>
            <w:vMerge w:val="restart"/>
          </w:tcPr>
          <w:p w:rsidR="00DD1591" w:rsidRDefault="002E32D7">
            <w:pPr>
              <w:pStyle w:val="ae"/>
            </w:pPr>
            <w:r>
              <w:t>Группа урегулирования претензий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Информация о несоответствии поставок</w:t>
            </w:r>
          </w:p>
        </w:tc>
        <w:tc>
          <w:tcPr>
            <w:tcW w:w="0" w:type="auto"/>
          </w:tcPr>
          <w:p w:rsidR="00DD1591" w:rsidRDefault="002E32D7">
            <w:pPr>
              <w:pStyle w:val="ae"/>
            </w:pPr>
            <w:r>
              <w:t>A3.3.3 Размещение заказов на поставку ресурсов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D1591" w:rsidRDefault="002E32D7">
            <w:pPr>
              <w:pStyle w:val="ae"/>
            </w:pPr>
            <w:r>
              <w:t>A3.4.2 Организация доставки ресурсов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4" w:name="Процессы_cac76cc9_1"/>
            <w:bookmarkEnd w:id="4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D1591" w:rsidRDefault="002E32D7">
            <w:pPr>
              <w:pStyle w:val="ae"/>
            </w:pPr>
            <w:r>
              <w:t>A3.5.1 Приемка ресурсов от поставщиков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3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D7" w:rsidRDefault="002E32D7" w:rsidP="006A6B29">
      <w:pPr>
        <w:spacing w:after="0"/>
      </w:pPr>
      <w:r>
        <w:separator/>
      </w:r>
    </w:p>
  </w:endnote>
  <w:endnote w:type="continuationSeparator" w:id="0">
    <w:p w:rsidR="002E32D7" w:rsidRDefault="002E32D7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543D3C">
            <w:rPr>
              <w:rFonts w:cs="Arial"/>
              <w:sz w:val="18"/>
              <w:szCs w:val="18"/>
            </w:rPr>
            <w:fldChar w:fldCharType="separate"/>
          </w:r>
          <w:r w:rsidR="002E32D7">
            <w:rPr>
              <w:rFonts w:cs="Arial"/>
              <w:noProof/>
              <w:sz w:val="18"/>
              <w:szCs w:val="18"/>
            </w:rPr>
            <w:t>Акт о несоответствующей поставке ресурсов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E32D7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E32D7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E32D7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D7" w:rsidRDefault="002E32D7" w:rsidP="006A6B29">
      <w:pPr>
        <w:spacing w:after="0"/>
      </w:pPr>
      <w:r>
        <w:separator/>
      </w:r>
    </w:p>
  </w:footnote>
  <w:footnote w:type="continuationSeparator" w:id="0">
    <w:p w:rsidR="002E32D7" w:rsidRDefault="002E32D7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b12f3f9-fae5-443c-aa33-03704e4df662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Акт о несоответствующей поставке ресурс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E32D7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43D3C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DD1591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3E517-2A3B-4842-ADD6-009120D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1257</Characters>
  <Application>Microsoft Office Word</Application>
  <DocSecurity>0</DocSecurity>
  <Lines>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о несоответствующей поставке ресурсов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2016-08-01T08:32:00Z</dcterms:created>
  <dcterms:modified xsi:type="dcterms:W3CDTF">2016-08-01T08:32:00Z</dcterms:modified>
</cp:coreProperties>
</file>