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11730">
        <w:fldChar w:fldCharType="separate"/>
      </w:r>
      <w:r w:rsidR="006C3C79">
        <w:t>A4.1.3 Согласование требований к новому продукту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11730">
        <w:fldChar w:fldCharType="separate"/>
      </w:r>
      <w:r w:rsidR="006C3C79">
        <w:t>Аналитический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11730">
        <w:fldChar w:fldCharType="separate"/>
      </w:r>
      <w:r w:rsidR="006C3C79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Маркетинговая стратегия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A1.2.5 Составление отчета о внутренней среде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Потребности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Потребность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A4.1.2 Анализ потребностей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Требования к новому продукту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Концепция нового продукта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A4.1.4 Планирование свойств нового продукта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 xml:space="preserve">Группа долгосрочного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A1.3.2 Выбор рынков и формулирование Маркетинговой стратегии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 xml:space="preserve">A1.5.2 Организация </w:t>
            </w:r>
            <w:r>
              <w:lastRenderedPageBreak/>
              <w:t>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lastRenderedPageBreak/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 xml:space="preserve">A1.4.2 Корректировка бизнес-процессов и </w:t>
            </w:r>
            <w:r>
              <w:t>подсистем управления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Механизмы_cb99d056"/>
      <w:bookmarkEnd w:id="15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Механизмы_cb99d056"/>
            <w:bookmarkEnd w:id="18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Ответственный представитель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4" w:rsidRDefault="006C3C79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4" w:rsidRDefault="006C3C79">
            <w:pPr>
              <w:pStyle w:val="af7"/>
            </w:pPr>
            <w:r>
              <w:t>Потребители</w:t>
            </w: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79" w:rsidRDefault="006C3C79" w:rsidP="00C46DB9">
      <w:pPr>
        <w:spacing w:after="0"/>
      </w:pPr>
      <w:r>
        <w:separator/>
      </w:r>
    </w:p>
  </w:endnote>
  <w:endnote w:type="continuationSeparator" w:id="0">
    <w:p w:rsidR="006C3C79" w:rsidRDefault="006C3C7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1173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3C79">
            <w:rPr>
              <w:rFonts w:cs="Arial"/>
              <w:noProof/>
              <w:sz w:val="18"/>
              <w:szCs w:val="16"/>
              <w:lang w:eastAsia="en-US"/>
            </w:rPr>
            <w:t>A4.1.3 Согласование требований к новому продукту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3C7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3C7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79" w:rsidRDefault="006C3C79" w:rsidP="00C46DB9">
      <w:pPr>
        <w:spacing w:after="0"/>
      </w:pPr>
      <w:r>
        <w:separator/>
      </w:r>
    </w:p>
  </w:footnote>
  <w:footnote w:type="continuationSeparator" w:id="0">
    <w:p w:rsidR="006C3C79" w:rsidRDefault="006C3C7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8c621a2-52eb-48a3-adb9-675d7aa7cda8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1.3 Согласование требований к новому продукту"/>
    <w:docVar w:name="Начало_30e4ab32" w:val=" "/>
    <w:docVar w:name="Результат_90b6d72d" w:val=" "/>
    <w:docVar w:name="Содержание_деятельности_d085921d" w:val=" 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C3C79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C5F14"/>
    <w:rsid w:val="00AE7390"/>
    <w:rsid w:val="00B1173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8D30C-D8EC-46E6-ADAB-FE6A224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1E3-3EC5-447C-BDF6-042EF280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1210</Characters>
  <Application>Microsoft Office Word</Application>
  <DocSecurity>0</DocSecurity>
  <Lines>97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A4.1.3 Согласование требований к новому продукту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2016-08-01T08:12:00Z</dcterms:created>
  <dcterms:modified xsi:type="dcterms:W3CDTF">2016-08-01T08:12:00Z</dcterms:modified>
</cp:coreProperties>
</file>