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6203C">
        <w:fldChar w:fldCharType="separate"/>
      </w:r>
      <w:r w:rsidR="00673E08">
        <w:t>Ведомость учета межпередельных запасов сырья и полуфабрикатов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6203C">
              <w:fldChar w:fldCharType="separate"/>
            </w:r>
            <w:r w:rsidR="00673E08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6203C">
              <w:fldChar w:fldCharType="separate"/>
            </w:r>
            <w:r w:rsidR="00673E08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08" w:rsidRDefault="00673E08" w:rsidP="006A6B29">
      <w:pPr>
        <w:spacing w:after="0"/>
      </w:pPr>
      <w:r>
        <w:separator/>
      </w:r>
    </w:p>
  </w:endnote>
  <w:endnote w:type="continuationSeparator" w:id="0">
    <w:p w:rsidR="00673E08" w:rsidRDefault="00673E0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6203C">
            <w:rPr>
              <w:rFonts w:cs="Arial"/>
              <w:sz w:val="18"/>
              <w:szCs w:val="18"/>
            </w:rPr>
            <w:fldChar w:fldCharType="separate"/>
          </w:r>
          <w:r w:rsidR="00673E08">
            <w:rPr>
              <w:rFonts w:cs="Arial"/>
              <w:noProof/>
              <w:sz w:val="18"/>
              <w:szCs w:val="18"/>
            </w:rPr>
            <w:t>Ведомость учета межпередельных запасов сырья и полуфабрикатов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73E0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73E0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73E0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08" w:rsidRDefault="00673E08" w:rsidP="006A6B29">
      <w:pPr>
        <w:spacing w:after="0"/>
      </w:pPr>
      <w:r>
        <w:separator/>
      </w:r>
    </w:p>
  </w:footnote>
  <w:footnote w:type="continuationSeparator" w:id="0">
    <w:p w:rsidR="00673E08" w:rsidRDefault="00673E0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d00728a-6f36-4a5d-9ed2-fae2f5293c48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Ведомость учета межпередельных запасов сырья и полуфабрика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73E08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6203C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89C70-77E2-452E-96BB-C835E13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130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Ведомость учета межпередельных запасов сырья и полуфабрикатов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